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sz w:val="44"/>
          <w:szCs w:val="44"/>
        </w:rPr>
        <w:t>关于进一步推进全区 “数字工地” 建设工作的通知</w:t>
      </w:r>
    </w:p>
    <w:p>
      <w:pPr>
        <w:pStyle w:val="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为深入贯彻落实省住建厅关于全面推进 “数字工地” 建设的部署要求，根据《关于启动黑龙江省数字工地监测服务平台的通知》《关于加大力度推进数字工地监测服务平台应用的通知》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等文件精神，加快推进我区 “数字工地” 建设，确保 2026 年实现全面落地目标，提升质量安全风险防控能力，现将有关事项通知如下：</w:t>
      </w:r>
    </w:p>
    <w:p>
      <w:pPr>
        <w:pStyle w:val="3"/>
      </w:pPr>
      <w:r>
        <w:t>一、工作目标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全区范围内依法取得施工许可证的房屋建筑和市政基础设施工程，应严格依据《黑龙江省数字工地建设技术指南》及《黑龙江省建设工程数字工地建设与评价标准》，全面推进 “数字工地” 建设与应用。具体安排如下：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2025 年前已开工、目前仍处于主体施工阶段的项目，鼓励开展 “数字工地” 建设；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2025 年 7 月 21 日（平台启动）后新签施工合同的项目，应开展 “数字工地” 建设；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2026 年起新开工项目必须全面实施 “数字工地” 建设，并接入黑龙江省数字工地监测服务平台，实现 “开工即接入、全程用平台”。</w:t>
      </w:r>
    </w:p>
    <w:p>
      <w:pPr>
        <w:pStyle w:val="3"/>
      </w:pPr>
      <w:r>
        <w:t>二、建设保障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建设单位应按照相关建设标准，将 “数字工地” 建设费用作为安全文明措施项目费纳入工程造价，依据国家和我省计价标准予以保障。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施工单位须严格遵循建设与评价标准，分阶段落实数字工地建设任务，指导运营服务商完成设备及网络部署。</w:t>
      </w:r>
    </w:p>
    <w:p>
      <w:pPr>
        <w:pStyle w:val="16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监理单位应做好数字工地建设过程的监理与验收工作。</w:t>
      </w:r>
    </w:p>
    <w:p>
      <w:pPr>
        <w:pStyle w:val="3"/>
      </w:pPr>
      <w:r>
        <w:t>三、推进措施</w:t>
      </w:r>
    </w:p>
    <w:p>
      <w:pPr>
        <w:pStyle w:val="4"/>
        <w:rPr>
          <w:sz w:val="32"/>
          <w:szCs w:val="32"/>
        </w:rPr>
      </w:pPr>
      <w:r>
        <w:rPr>
          <w:sz w:val="32"/>
          <w:szCs w:val="32"/>
        </w:rPr>
        <w:t>（一）加强组织培训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地区住建局将联合省厅监测中心，面向各县（市、区）质量安全监管部门及建设、施工、监理等单位，开展全区数字平台应用专项培训（具体安排另行通知），重点讲解平台操作流程与数据录入规范。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住建部门应组织辖区内企业开展政策解读与责任落实培训，提升平台应用能力。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3.住建部门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通过组织会议、培训、观摩交流等形式推广典型做法，营造良好应用氛围。</w:t>
      </w:r>
    </w:p>
    <w:p>
      <w:pPr>
        <w:pStyle w:val="4"/>
      </w:pPr>
      <w:r>
        <w:t>（二）压实各方责任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各参建单位应建立 “主要负责人牵头、分管负责人落实” 的责任机制，将平台应用职责细化到岗、落实到人。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住建部门应明确监管责任科室及联系人，加强平台应用情况的监督检查。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引导辖区内预拌混凝土生产企业按照技术指南实施升级改造，实现与平台数据对接，做到 “一车一单”，确保预拌混凝土全流程数据可追溯。</w:t>
      </w:r>
    </w:p>
    <w:p>
      <w:pPr>
        <w:pStyle w:val="4"/>
        <w:rPr>
          <w:sz w:val="32"/>
          <w:szCs w:val="32"/>
        </w:rPr>
      </w:pPr>
      <w:r>
        <w:rPr>
          <w:sz w:val="32"/>
          <w:szCs w:val="32"/>
        </w:rPr>
        <w:t>（三）强化督导落实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地区住建局将对未按要求落实 “数字工地” 建设的属地住建部门予以通报；对应用规范、数据质量高的地区和单位予以表扬；对工作滞后、问题突出的进行约谈问责。</w:t>
      </w:r>
    </w:p>
    <w:p>
      <w:pPr>
        <w:pStyle w:val="1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住建部门应及时将相关文件传达至建设、施工、监理单位及预拌混凝土企业，确保各项要求执行到位。</w:t>
      </w:r>
    </w:p>
    <w:p>
      <w:pPr>
        <w:pStyle w:val="16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"https://www.kdocs.cn/l/ct0ZPRTb6Y3l" </w:instrText>
      </w:r>
      <w:r>
        <w:rPr>
          <w:rFonts w:hint="eastAsia"/>
          <w:lang w:eastAsia="zh-CN"/>
        </w:rPr>
        <w:fldChar w:fldCharType="separate"/>
      </w:r>
      <w:r>
        <w:rPr>
          <w:rStyle w:val="12"/>
          <w:rFonts w:hint="eastAsia"/>
          <w:lang w:eastAsia="zh-CN"/>
        </w:rPr>
        <w:t>关于加大力度推进数字工地监测服务平台应用的通知.pdf</w:t>
      </w:r>
      <w:r>
        <w:rPr>
          <w:rFonts w:hint="eastAsia"/>
          <w:lang w:eastAsia="zh-CN"/>
        </w:rPr>
        <w:fldChar w:fldCharType="end"/>
      </w:r>
    </w:p>
    <w:p>
      <w:pPr>
        <w:pStyle w:val="16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"https://www.kdocs.cn/l/csJ47LobfFfH" </w:instrText>
      </w:r>
      <w:r>
        <w:rPr>
          <w:rFonts w:hint="eastAsia"/>
          <w:lang w:eastAsia="zh-CN"/>
        </w:rPr>
        <w:fldChar w:fldCharType="separate"/>
      </w:r>
      <w:r>
        <w:rPr>
          <w:rStyle w:val="12"/>
          <w:rFonts w:hint="eastAsia"/>
          <w:lang w:eastAsia="zh-CN"/>
        </w:rPr>
        <w:t>关于启动黑龙江省数字工地监测服务平台的通知(8).pdf</w:t>
      </w:r>
      <w:r>
        <w:rPr>
          <w:rFonts w:hint="eastAsia"/>
          <w:lang w:eastAsia="zh-CN"/>
        </w:rPr>
        <w:fldChar w:fldCharType="end"/>
      </w:r>
    </w:p>
    <w:p>
      <w:pPr>
        <w:pStyle w:val="16"/>
        <w:jc w:val="right"/>
        <w:rPr>
          <w:rFonts w:hint="eastAsia"/>
          <w:lang w:eastAsia="zh-CN"/>
        </w:rPr>
      </w:pPr>
    </w:p>
    <w:p>
      <w:pPr>
        <w:pStyle w:val="16"/>
        <w:jc w:val="right"/>
        <w:rPr>
          <w:rFonts w:hint="eastAsia"/>
          <w:lang w:eastAsia="zh-CN"/>
        </w:rPr>
      </w:pPr>
    </w:p>
    <w:p>
      <w:pPr>
        <w:pStyle w:val="16"/>
        <w:jc w:val="right"/>
        <w:rPr>
          <w:rFonts w:hint="eastAsia"/>
          <w:lang w:eastAsia="zh-CN"/>
        </w:rPr>
      </w:pPr>
    </w:p>
    <w:p>
      <w:pPr>
        <w:pStyle w:val="16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呼中区住房和城乡建设局</w:t>
      </w:r>
    </w:p>
    <w:p>
      <w:pPr>
        <w:pStyle w:val="16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2025年11月18日</w:t>
      </w:r>
    </w:p>
    <w:sectPr>
      <w:pgSz w:w="11906" w:h="16838"/>
      <w:pgMar w:top="1440" w:right="1803" w:bottom="1440" w:left="180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2B2A9C"/>
    <w:rsid w:val="05BF1523"/>
    <w:rsid w:val="17BE17B8"/>
    <w:rsid w:val="216B6EB7"/>
    <w:rsid w:val="2ED44FE0"/>
    <w:rsid w:val="301D719A"/>
    <w:rsid w:val="30B536BC"/>
    <w:rsid w:val="36A77E6F"/>
    <w:rsid w:val="545B7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1070</Words>
  <Characters>1114</Characters>
  <TotalTime>21</TotalTime>
  <ScaleCrop>false</ScaleCrop>
  <LinksUpToDate>false</LinksUpToDate>
  <CharactersWithSpaces>1178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2025-11-18T07:01:00Z</dcterms:created>
  <dc:creator>Un-named</dc:creator>
  <cp:lastModifiedBy>wild</cp:lastModifiedBy>
  <cp:lastPrinted>2025-11-18T07:23:00Z</cp:lastPrinted>
  <dcterms:modified xsi:type="dcterms:W3CDTF">2025-11-21T00:47:54Z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eyJoZGlkIjoiZTMxNjQxOGE4NjRkNDVmOGEyOWQwYWQ4N2ZhMDhmMzUiLCJ1c2VySWQiOiIzMTMyMzYxMDgifQ==</vt:lpwstr>
  </property>
  <property fmtid="{D5CDD505-2E9C-101B-9397-08002B2CF9AE}" pid="4" name="ICV">
    <vt:lpwstr>BBD269699D7E4AEDABF51AC514661651_13</vt:lpwstr>
  </property>
</Properties>
</file>